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刘学会</w:t>
      </w:r>
      <w:r>
        <w:rPr>
          <w:rFonts w:hint="eastAsia"/>
          <w:sz w:val="15"/>
          <w:szCs w:val="15"/>
          <w:highlight w:val="none"/>
        </w:rPr>
        <w:t>，</w:t>
      </w:r>
      <w:r>
        <w:rPr>
          <w:rFonts w:hint="eastAsia"/>
          <w:sz w:val="15"/>
          <w:szCs w:val="15"/>
          <w:highlight w:val="none"/>
          <w:lang w:val="en-US" w:eastAsia="zh-CN"/>
        </w:rPr>
        <w:t>130123197608043617</w:t>
      </w:r>
      <w:r>
        <w:rPr>
          <w:rFonts w:hint="eastAsia"/>
          <w:sz w:val="15"/>
          <w:szCs w:val="15"/>
        </w:rPr>
        <w:t xml:space="preserve">  </w:t>
      </w:r>
      <w:r>
        <w:rPr>
          <w:rFonts w:hint="eastAsia"/>
          <w:sz w:val="15"/>
          <w:szCs w:val="15"/>
          <w:lang w:val="en-US" w:eastAsia="zh-CN"/>
        </w:rPr>
        <w:t>冀A87P08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