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高僧保</w:t>
      </w:r>
      <w:r>
        <w:rPr>
          <w:rFonts w:hint="eastAsia"/>
          <w:sz w:val="15"/>
          <w:szCs w:val="15"/>
          <w:highlight w:val="none"/>
        </w:rPr>
        <w:t>，</w:t>
      </w:r>
      <w:r>
        <w:rPr>
          <w:rFonts w:hint="eastAsia"/>
          <w:sz w:val="15"/>
          <w:szCs w:val="15"/>
          <w:highlight w:val="none"/>
          <w:lang w:val="en-US" w:eastAsia="zh-CN"/>
        </w:rPr>
        <w:t>132329196905282434</w:t>
      </w:r>
      <w:r>
        <w:rPr>
          <w:rFonts w:hint="eastAsia"/>
          <w:sz w:val="15"/>
          <w:szCs w:val="15"/>
        </w:rPr>
        <w:t xml:space="preserve">  </w:t>
      </w:r>
      <w:r>
        <w:rPr>
          <w:rFonts w:hint="eastAsia"/>
          <w:sz w:val="15"/>
          <w:szCs w:val="15"/>
          <w:lang w:val="en-US" w:eastAsia="zh-CN"/>
        </w:rPr>
        <w:t>冀A891EM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