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康建伟</w:t>
      </w:r>
      <w:r>
        <w:rPr>
          <w:rFonts w:hint="eastAsia"/>
          <w:sz w:val="15"/>
          <w:szCs w:val="15"/>
          <w:highlight w:val="none"/>
        </w:rPr>
        <w:t>，</w:t>
      </w:r>
      <w:r>
        <w:rPr>
          <w:rFonts w:hint="eastAsia"/>
          <w:sz w:val="15"/>
          <w:szCs w:val="15"/>
          <w:highlight w:val="none"/>
          <w:lang w:val="en-US" w:eastAsia="zh-CN"/>
        </w:rPr>
        <w:t>130131198812011211</w:t>
      </w:r>
      <w:r>
        <w:rPr>
          <w:rFonts w:hint="eastAsia"/>
          <w:sz w:val="15"/>
          <w:szCs w:val="15"/>
        </w:rPr>
        <w:t xml:space="preserve">  </w:t>
      </w:r>
      <w:r>
        <w:rPr>
          <w:rFonts w:hint="eastAsia"/>
          <w:sz w:val="15"/>
          <w:szCs w:val="15"/>
          <w:lang w:val="en-US" w:eastAsia="zh-CN"/>
        </w:rPr>
        <w:t>冀A2780W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