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杨建亮</w:t>
      </w:r>
      <w:r>
        <w:rPr>
          <w:rFonts w:hint="eastAsia"/>
          <w:sz w:val="15"/>
          <w:szCs w:val="15"/>
          <w:highlight w:val="none"/>
        </w:rPr>
        <w:t>，</w:t>
      </w:r>
      <w:r>
        <w:rPr>
          <w:rFonts w:hint="eastAsia"/>
          <w:sz w:val="15"/>
          <w:szCs w:val="15"/>
          <w:highlight w:val="none"/>
          <w:lang w:val="en-US" w:eastAsia="zh-CN"/>
        </w:rPr>
        <w:t>13012119800602201X</w:t>
      </w:r>
      <w:r>
        <w:rPr>
          <w:rFonts w:hint="eastAsia"/>
          <w:sz w:val="15"/>
          <w:szCs w:val="15"/>
        </w:rPr>
        <w:t xml:space="preserve">  </w:t>
      </w:r>
      <w:r>
        <w:rPr>
          <w:rFonts w:hint="eastAsia"/>
          <w:sz w:val="15"/>
          <w:szCs w:val="15"/>
          <w:lang w:val="en-US" w:eastAsia="zh-CN"/>
        </w:rPr>
        <w:t>冀A76286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