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李雄超</w:t>
      </w:r>
      <w:r>
        <w:rPr>
          <w:rFonts w:hint="eastAsia"/>
          <w:sz w:val="15"/>
          <w:szCs w:val="15"/>
          <w:highlight w:val="none"/>
        </w:rPr>
        <w:t>，</w:t>
      </w:r>
      <w:r>
        <w:rPr>
          <w:rFonts w:hint="eastAsia"/>
          <w:sz w:val="15"/>
          <w:szCs w:val="15"/>
          <w:highlight w:val="none"/>
          <w:lang w:val="en-US" w:eastAsia="zh-CN"/>
        </w:rPr>
        <w:t>130182199402222416</w:t>
      </w:r>
      <w:r>
        <w:rPr>
          <w:rFonts w:hint="eastAsia"/>
          <w:sz w:val="15"/>
          <w:szCs w:val="15"/>
        </w:rPr>
        <w:t xml:space="preserve">  </w:t>
      </w:r>
      <w:r>
        <w:rPr>
          <w:rFonts w:hint="eastAsia"/>
          <w:sz w:val="15"/>
          <w:szCs w:val="15"/>
          <w:lang w:val="en-US" w:eastAsia="zh-CN"/>
        </w:rPr>
        <w:t>冀A69118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