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张晓东</w:t>
      </w:r>
      <w:r>
        <w:rPr>
          <w:rFonts w:hint="eastAsia"/>
          <w:sz w:val="15"/>
          <w:szCs w:val="15"/>
          <w:highlight w:val="none"/>
        </w:rPr>
        <w:t>，</w:t>
      </w:r>
      <w:r>
        <w:rPr>
          <w:rFonts w:hint="eastAsia"/>
          <w:sz w:val="15"/>
          <w:szCs w:val="15"/>
          <w:highlight w:val="none"/>
          <w:lang w:val="en-US" w:eastAsia="zh-CN"/>
        </w:rPr>
        <w:t>130121199403220030</w:t>
      </w:r>
      <w:r>
        <w:rPr>
          <w:rFonts w:hint="eastAsia"/>
          <w:sz w:val="15"/>
          <w:szCs w:val="15"/>
        </w:rPr>
        <w:t xml:space="preserve">  </w:t>
      </w:r>
      <w:r>
        <w:rPr>
          <w:rFonts w:hint="eastAsia"/>
          <w:sz w:val="15"/>
          <w:szCs w:val="15"/>
          <w:lang w:val="en-US" w:eastAsia="zh-CN"/>
        </w:rPr>
        <w:t>冀A36655D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