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边虎</w:t>
      </w:r>
      <w:r>
        <w:rPr>
          <w:rFonts w:hint="eastAsia"/>
          <w:sz w:val="15"/>
          <w:szCs w:val="15"/>
          <w:highlight w:val="none"/>
        </w:rPr>
        <w:t>，</w:t>
      </w:r>
      <w:r>
        <w:rPr>
          <w:rFonts w:hint="eastAsia"/>
          <w:sz w:val="15"/>
          <w:szCs w:val="15"/>
          <w:highlight w:val="none"/>
          <w:lang w:val="en-US" w:eastAsia="zh-CN"/>
        </w:rPr>
        <w:t>130185198712133712</w:t>
      </w:r>
      <w:r>
        <w:rPr>
          <w:rFonts w:hint="eastAsia"/>
          <w:sz w:val="15"/>
          <w:szCs w:val="15"/>
        </w:rPr>
        <w:t xml:space="preserve">  </w:t>
      </w:r>
      <w:r>
        <w:rPr>
          <w:rFonts w:hint="eastAsia"/>
          <w:sz w:val="15"/>
          <w:szCs w:val="15"/>
          <w:lang w:val="en-US" w:eastAsia="zh-CN"/>
        </w:rPr>
        <w:t>冀A76691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