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焦军刚</w:t>
      </w:r>
      <w:r>
        <w:rPr>
          <w:rFonts w:hint="eastAsia"/>
          <w:sz w:val="15"/>
          <w:szCs w:val="15"/>
          <w:highlight w:val="none"/>
        </w:rPr>
        <w:t>，</w:t>
      </w:r>
      <w:r>
        <w:rPr>
          <w:rFonts w:hint="eastAsia"/>
          <w:sz w:val="15"/>
          <w:szCs w:val="15"/>
          <w:highlight w:val="none"/>
          <w:lang w:val="en-US" w:eastAsia="zh-CN"/>
        </w:rPr>
        <w:t>132335198010011330</w:t>
      </w:r>
      <w:r>
        <w:rPr>
          <w:rFonts w:hint="eastAsia"/>
          <w:sz w:val="15"/>
          <w:szCs w:val="15"/>
        </w:rPr>
        <w:t xml:space="preserve">  </w:t>
      </w:r>
      <w:r>
        <w:rPr>
          <w:rFonts w:hint="eastAsia"/>
          <w:sz w:val="15"/>
          <w:szCs w:val="15"/>
          <w:lang w:val="en-US" w:eastAsia="zh-CN"/>
        </w:rPr>
        <w:t>冀A2717Y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