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王德江</w:t>
      </w:r>
      <w:r>
        <w:rPr>
          <w:rFonts w:hint="eastAsia"/>
          <w:sz w:val="15"/>
          <w:szCs w:val="15"/>
          <w:highlight w:val="none"/>
        </w:rPr>
        <w:t>，</w:t>
      </w:r>
      <w:r>
        <w:rPr>
          <w:rFonts w:hint="eastAsia"/>
          <w:sz w:val="15"/>
          <w:szCs w:val="15"/>
          <w:highlight w:val="none"/>
          <w:lang w:val="en-US" w:eastAsia="zh-CN"/>
        </w:rPr>
        <w:t>130924198506232235</w:t>
      </w:r>
      <w:r>
        <w:rPr>
          <w:rFonts w:hint="eastAsia"/>
          <w:sz w:val="15"/>
          <w:szCs w:val="15"/>
        </w:rPr>
        <w:t xml:space="preserve">  </w:t>
      </w:r>
      <w:r>
        <w:rPr>
          <w:rFonts w:hint="eastAsia"/>
          <w:sz w:val="15"/>
          <w:szCs w:val="15"/>
          <w:lang w:val="en-US" w:eastAsia="zh-CN"/>
        </w:rPr>
        <w:t>冀J8L790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