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郝浦</w:t>
      </w:r>
      <w:r>
        <w:rPr>
          <w:rFonts w:hint="eastAsia"/>
          <w:sz w:val="15"/>
          <w:szCs w:val="15"/>
          <w:highlight w:val="none"/>
        </w:rPr>
        <w:t>，</w:t>
      </w:r>
      <w:r>
        <w:rPr>
          <w:rFonts w:hint="eastAsia"/>
          <w:sz w:val="15"/>
          <w:szCs w:val="15"/>
          <w:highlight w:val="none"/>
          <w:lang w:val="en-US" w:eastAsia="zh-CN"/>
        </w:rPr>
        <w:t>130121198804041039</w:t>
      </w:r>
      <w:r>
        <w:rPr>
          <w:rFonts w:hint="eastAsia"/>
          <w:sz w:val="15"/>
          <w:szCs w:val="15"/>
        </w:rPr>
        <w:t xml:space="preserve">  </w:t>
      </w:r>
      <w:r>
        <w:rPr>
          <w:rFonts w:hint="eastAsia"/>
          <w:sz w:val="15"/>
          <w:szCs w:val="15"/>
          <w:lang w:val="en-US" w:eastAsia="zh-CN"/>
        </w:rPr>
        <w:t>冀A78988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