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尚东伟</w:t>
      </w:r>
      <w:r>
        <w:rPr>
          <w:rFonts w:hint="eastAsia"/>
          <w:sz w:val="15"/>
          <w:szCs w:val="15"/>
          <w:highlight w:val="none"/>
        </w:rPr>
        <w:t>，</w:t>
      </w:r>
      <w:r>
        <w:rPr>
          <w:rFonts w:hint="eastAsia"/>
          <w:sz w:val="15"/>
          <w:szCs w:val="15"/>
          <w:highlight w:val="none"/>
          <w:lang w:val="en-US" w:eastAsia="zh-CN"/>
        </w:rPr>
        <w:t>132326197105280372</w:t>
      </w:r>
      <w:r>
        <w:rPr>
          <w:rFonts w:hint="eastAsia"/>
          <w:sz w:val="15"/>
          <w:szCs w:val="15"/>
        </w:rPr>
        <w:t xml:space="preserve">  </w:t>
      </w:r>
      <w:r>
        <w:rPr>
          <w:rFonts w:hint="eastAsia"/>
          <w:sz w:val="15"/>
          <w:szCs w:val="15"/>
          <w:lang w:val="en-US" w:eastAsia="zh-CN"/>
        </w:rPr>
        <w:t>冀AP4320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