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刘世杰</w:t>
      </w:r>
      <w:r>
        <w:rPr>
          <w:rFonts w:hint="eastAsia"/>
          <w:sz w:val="15"/>
          <w:szCs w:val="15"/>
          <w:highlight w:val="none"/>
        </w:rPr>
        <w:t>，</w:t>
      </w:r>
      <w:r>
        <w:rPr>
          <w:rFonts w:hint="eastAsia"/>
          <w:sz w:val="15"/>
          <w:szCs w:val="15"/>
          <w:highlight w:val="none"/>
          <w:lang w:val="en-US" w:eastAsia="zh-CN"/>
        </w:rPr>
        <w:t>130131199205250039</w:t>
      </w:r>
      <w:r>
        <w:rPr>
          <w:rFonts w:hint="eastAsia"/>
          <w:sz w:val="15"/>
          <w:szCs w:val="15"/>
        </w:rPr>
        <w:t xml:space="preserve">  </w:t>
      </w:r>
      <w:r>
        <w:rPr>
          <w:rFonts w:hint="eastAsia"/>
          <w:sz w:val="15"/>
          <w:szCs w:val="15"/>
          <w:lang w:val="en-US" w:eastAsia="zh-CN"/>
        </w:rPr>
        <w:t>冀A980AZ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