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王晓峰</w:t>
      </w:r>
      <w:r>
        <w:rPr>
          <w:rFonts w:hint="eastAsia"/>
          <w:sz w:val="15"/>
          <w:szCs w:val="15"/>
          <w:highlight w:val="none"/>
        </w:rPr>
        <w:t>，</w:t>
      </w:r>
      <w:r>
        <w:rPr>
          <w:rFonts w:hint="eastAsia"/>
          <w:sz w:val="15"/>
          <w:szCs w:val="15"/>
          <w:highlight w:val="none"/>
          <w:lang w:val="en-US" w:eastAsia="zh-CN"/>
        </w:rPr>
        <w:t>140321197012220010</w:t>
      </w:r>
      <w:r>
        <w:rPr>
          <w:rFonts w:hint="eastAsia"/>
          <w:sz w:val="15"/>
          <w:szCs w:val="15"/>
        </w:rPr>
        <w:t xml:space="preserve">  </w:t>
      </w:r>
      <w:r>
        <w:rPr>
          <w:rFonts w:hint="eastAsia"/>
          <w:sz w:val="15"/>
          <w:szCs w:val="15"/>
          <w:lang w:val="en-US" w:eastAsia="zh-CN"/>
        </w:rPr>
        <w:t>晋C00187D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