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张春明</w:t>
      </w:r>
      <w:r>
        <w:rPr>
          <w:rFonts w:hint="eastAsia"/>
          <w:sz w:val="15"/>
          <w:szCs w:val="15"/>
          <w:highlight w:val="none"/>
        </w:rPr>
        <w:t>，</w:t>
      </w:r>
      <w:r>
        <w:rPr>
          <w:rFonts w:hint="eastAsia"/>
          <w:sz w:val="15"/>
          <w:szCs w:val="15"/>
          <w:highlight w:val="none"/>
          <w:lang w:val="en-US" w:eastAsia="zh-CN"/>
        </w:rPr>
        <w:t>140321197503210933</w:t>
      </w:r>
      <w:r>
        <w:rPr>
          <w:rFonts w:hint="eastAsia"/>
          <w:sz w:val="15"/>
          <w:szCs w:val="15"/>
        </w:rPr>
        <w:t xml:space="preserve">  </w:t>
      </w:r>
      <w:r>
        <w:rPr>
          <w:rFonts w:hint="eastAsia"/>
          <w:sz w:val="15"/>
          <w:szCs w:val="15"/>
          <w:lang w:val="en-US" w:eastAsia="zh-CN"/>
        </w:rPr>
        <w:t>晋C07003D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