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史雪刚</w:t>
      </w:r>
      <w:r>
        <w:rPr>
          <w:rFonts w:hint="eastAsia"/>
          <w:sz w:val="15"/>
          <w:szCs w:val="15"/>
          <w:highlight w:val="none"/>
        </w:rPr>
        <w:t>，</w:t>
      </w:r>
      <w:r>
        <w:rPr>
          <w:rFonts w:hint="eastAsia"/>
          <w:sz w:val="15"/>
          <w:szCs w:val="15"/>
          <w:highlight w:val="none"/>
          <w:lang w:val="en-US" w:eastAsia="zh-CN"/>
        </w:rPr>
        <w:t>130131198311261511</w:t>
      </w:r>
      <w:r>
        <w:rPr>
          <w:rFonts w:hint="eastAsia"/>
          <w:sz w:val="15"/>
          <w:szCs w:val="15"/>
        </w:rPr>
        <w:t xml:space="preserve">  </w:t>
      </w:r>
      <w:r>
        <w:rPr>
          <w:rFonts w:hint="eastAsia"/>
          <w:sz w:val="15"/>
          <w:szCs w:val="15"/>
          <w:lang w:val="en-US" w:eastAsia="zh-CN"/>
        </w:rPr>
        <w:t>冀A5K617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