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廉志刚</w:t>
      </w:r>
      <w:r>
        <w:rPr>
          <w:rFonts w:hint="eastAsia"/>
          <w:sz w:val="15"/>
          <w:szCs w:val="15"/>
          <w:highlight w:val="none"/>
        </w:rPr>
        <w:t>，</w:t>
      </w:r>
      <w:r>
        <w:rPr>
          <w:rFonts w:hint="eastAsia"/>
          <w:sz w:val="15"/>
          <w:szCs w:val="15"/>
          <w:highlight w:val="none"/>
          <w:lang w:val="en-US" w:eastAsia="zh-CN"/>
        </w:rPr>
        <w:t>142430198204092031</w:t>
      </w:r>
      <w:r>
        <w:rPr>
          <w:rFonts w:hint="eastAsia"/>
          <w:sz w:val="15"/>
          <w:szCs w:val="15"/>
        </w:rPr>
        <w:t xml:space="preserve">  </w:t>
      </w:r>
      <w:r>
        <w:rPr>
          <w:rFonts w:hint="eastAsia"/>
          <w:sz w:val="15"/>
          <w:szCs w:val="15"/>
          <w:lang w:val="en-US" w:eastAsia="zh-CN"/>
        </w:rPr>
        <w:t>晋KP4656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