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刘东建</w:t>
      </w:r>
      <w:r>
        <w:rPr>
          <w:rFonts w:hint="eastAsia"/>
          <w:sz w:val="15"/>
          <w:szCs w:val="15"/>
          <w:highlight w:val="none"/>
        </w:rPr>
        <w:t>，</w:t>
      </w:r>
      <w:r>
        <w:rPr>
          <w:rFonts w:hint="eastAsia"/>
          <w:sz w:val="15"/>
          <w:szCs w:val="15"/>
          <w:highlight w:val="none"/>
          <w:lang w:val="en-US" w:eastAsia="zh-CN"/>
        </w:rPr>
        <w:t>132931197605250616</w:t>
      </w:r>
      <w:r>
        <w:rPr>
          <w:rFonts w:hint="eastAsia"/>
          <w:sz w:val="15"/>
          <w:szCs w:val="15"/>
        </w:rPr>
        <w:t xml:space="preserve">  </w:t>
      </w:r>
      <w:r>
        <w:rPr>
          <w:rFonts w:hint="eastAsia"/>
          <w:sz w:val="15"/>
          <w:szCs w:val="15"/>
          <w:lang w:val="en-US" w:eastAsia="zh-CN"/>
        </w:rPr>
        <w:t>冀J8V337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