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杨建锋</w:t>
      </w:r>
      <w:r>
        <w:rPr>
          <w:rFonts w:hint="eastAsia"/>
          <w:sz w:val="15"/>
          <w:szCs w:val="15"/>
          <w:highlight w:val="none"/>
        </w:rPr>
        <w:t>，</w:t>
      </w:r>
      <w:r>
        <w:rPr>
          <w:rFonts w:hint="eastAsia"/>
          <w:sz w:val="15"/>
          <w:szCs w:val="15"/>
          <w:highlight w:val="none"/>
          <w:lang w:val="en-US" w:eastAsia="zh-CN"/>
        </w:rPr>
        <w:t>132302197810175833</w:t>
      </w:r>
      <w:r>
        <w:rPr>
          <w:rFonts w:hint="eastAsia"/>
          <w:sz w:val="15"/>
          <w:szCs w:val="15"/>
        </w:rPr>
        <w:t xml:space="preserve">  </w:t>
      </w:r>
      <w:r>
        <w:rPr>
          <w:rFonts w:hint="eastAsia"/>
          <w:sz w:val="15"/>
          <w:szCs w:val="15"/>
          <w:lang w:val="en-US" w:eastAsia="zh-CN"/>
        </w:rPr>
        <w:t>沪A23566A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