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张明龙</w:t>
      </w:r>
      <w:r>
        <w:rPr>
          <w:rFonts w:hint="eastAsia"/>
          <w:sz w:val="15"/>
          <w:szCs w:val="15"/>
          <w:highlight w:val="none"/>
        </w:rPr>
        <w:t>，</w:t>
      </w:r>
      <w:r>
        <w:rPr>
          <w:rFonts w:hint="eastAsia"/>
          <w:sz w:val="15"/>
          <w:szCs w:val="15"/>
          <w:highlight w:val="none"/>
          <w:lang w:val="en-US" w:eastAsia="zh-CN"/>
        </w:rPr>
        <w:t>132335197402070730</w:t>
      </w:r>
      <w:r>
        <w:rPr>
          <w:rFonts w:hint="eastAsia"/>
          <w:sz w:val="15"/>
          <w:szCs w:val="15"/>
        </w:rPr>
        <w:t xml:space="preserve">  </w:t>
      </w:r>
      <w:r>
        <w:rPr>
          <w:rFonts w:hint="eastAsia"/>
          <w:sz w:val="15"/>
          <w:szCs w:val="15"/>
          <w:lang w:val="en-US" w:eastAsia="zh-CN"/>
        </w:rPr>
        <w:t>冀A9H538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