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闫超龙</w:t>
      </w:r>
      <w:r>
        <w:rPr>
          <w:rFonts w:hint="eastAsia"/>
          <w:sz w:val="15"/>
          <w:szCs w:val="15"/>
          <w:highlight w:val="none"/>
        </w:rPr>
        <w:t>，</w:t>
      </w:r>
      <w:r>
        <w:rPr>
          <w:rFonts w:hint="eastAsia"/>
          <w:sz w:val="15"/>
          <w:szCs w:val="15"/>
          <w:highlight w:val="none"/>
          <w:lang w:val="en-US" w:eastAsia="zh-CN"/>
        </w:rPr>
        <w:t>130121198802202652</w:t>
      </w:r>
      <w:r>
        <w:rPr>
          <w:rFonts w:hint="eastAsia"/>
          <w:sz w:val="15"/>
          <w:szCs w:val="15"/>
        </w:rPr>
        <w:t xml:space="preserve">  </w:t>
      </w:r>
      <w:r>
        <w:rPr>
          <w:rFonts w:hint="eastAsia"/>
          <w:sz w:val="15"/>
          <w:szCs w:val="15"/>
          <w:lang w:val="en-US" w:eastAsia="zh-CN"/>
        </w:rPr>
        <w:t>冀AL4991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