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武飞龙</w:t>
      </w:r>
      <w:r>
        <w:rPr>
          <w:rFonts w:hint="eastAsia"/>
          <w:sz w:val="15"/>
          <w:szCs w:val="15"/>
          <w:highlight w:val="none"/>
        </w:rPr>
        <w:t>，</w:t>
      </w:r>
      <w:r>
        <w:rPr>
          <w:rFonts w:hint="eastAsia"/>
          <w:sz w:val="15"/>
          <w:szCs w:val="15"/>
          <w:highlight w:val="none"/>
          <w:lang w:val="en-US" w:eastAsia="zh-CN"/>
        </w:rPr>
        <w:t>130121198711180814</w:t>
      </w:r>
      <w:r>
        <w:rPr>
          <w:rFonts w:hint="eastAsia"/>
          <w:sz w:val="15"/>
          <w:szCs w:val="15"/>
        </w:rPr>
        <w:t xml:space="preserve">  </w:t>
      </w:r>
      <w:r>
        <w:rPr>
          <w:rFonts w:hint="eastAsia"/>
          <w:sz w:val="15"/>
          <w:szCs w:val="15"/>
          <w:lang w:val="en-US" w:eastAsia="zh-CN"/>
        </w:rPr>
        <w:t>冀AE6328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