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徐建伟</w:t>
      </w:r>
      <w:r>
        <w:rPr>
          <w:rFonts w:hint="eastAsia"/>
          <w:sz w:val="15"/>
          <w:szCs w:val="15"/>
          <w:highlight w:val="none"/>
        </w:rPr>
        <w:t>，</w:t>
      </w:r>
      <w:r>
        <w:rPr>
          <w:rFonts w:hint="eastAsia"/>
          <w:sz w:val="15"/>
          <w:szCs w:val="15"/>
          <w:highlight w:val="none"/>
          <w:lang w:val="en-US" w:eastAsia="zh-CN"/>
        </w:rPr>
        <w:t>130126198610212719</w:t>
      </w:r>
      <w:r>
        <w:rPr>
          <w:rFonts w:hint="eastAsia"/>
          <w:sz w:val="15"/>
          <w:szCs w:val="15"/>
        </w:rPr>
        <w:t xml:space="preserve">  </w:t>
      </w:r>
      <w:r>
        <w:rPr>
          <w:rFonts w:hint="eastAsia"/>
          <w:sz w:val="15"/>
          <w:szCs w:val="15"/>
          <w:lang w:val="en-US" w:eastAsia="zh-CN"/>
        </w:rPr>
        <w:t>冀AKY406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