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祁建广</w:t>
      </w:r>
      <w:r>
        <w:rPr>
          <w:rFonts w:hint="eastAsia"/>
          <w:sz w:val="15"/>
          <w:szCs w:val="15"/>
          <w:highlight w:val="none"/>
        </w:rPr>
        <w:t>，</w:t>
      </w:r>
      <w:r>
        <w:rPr>
          <w:rFonts w:hint="eastAsia"/>
          <w:sz w:val="15"/>
          <w:szCs w:val="15"/>
          <w:highlight w:val="none"/>
          <w:lang w:val="en-US" w:eastAsia="zh-CN"/>
        </w:rPr>
        <w:t>13018219820612243X</w:t>
      </w:r>
      <w:r>
        <w:rPr>
          <w:rFonts w:hint="eastAsia"/>
          <w:sz w:val="15"/>
          <w:szCs w:val="15"/>
        </w:rPr>
        <w:t xml:space="preserve">  </w:t>
      </w:r>
      <w:r>
        <w:rPr>
          <w:rFonts w:hint="eastAsia"/>
          <w:sz w:val="15"/>
          <w:szCs w:val="15"/>
          <w:lang w:val="en-US" w:eastAsia="zh-CN"/>
        </w:rPr>
        <w:t>冀A75167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