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孙进忠</w:t>
      </w:r>
      <w:r>
        <w:rPr>
          <w:rFonts w:hint="eastAsia"/>
          <w:sz w:val="15"/>
          <w:szCs w:val="15"/>
          <w:highlight w:val="none"/>
        </w:rPr>
        <w:t>，</w:t>
      </w:r>
      <w:r>
        <w:rPr>
          <w:rFonts w:hint="eastAsia"/>
          <w:sz w:val="15"/>
          <w:szCs w:val="15"/>
          <w:highlight w:val="none"/>
          <w:lang w:val="en-US" w:eastAsia="zh-CN"/>
        </w:rPr>
        <w:t>132336197812190512</w:t>
      </w:r>
      <w:r>
        <w:rPr>
          <w:rFonts w:hint="eastAsia"/>
          <w:sz w:val="15"/>
          <w:szCs w:val="15"/>
        </w:rPr>
        <w:t xml:space="preserve">  </w:t>
      </w:r>
      <w:r>
        <w:rPr>
          <w:rFonts w:hint="eastAsia"/>
          <w:sz w:val="15"/>
          <w:szCs w:val="15"/>
          <w:lang w:val="en-US" w:eastAsia="zh-CN"/>
        </w:rPr>
        <w:t>冀A75517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