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焦飞</w:t>
      </w:r>
      <w:r>
        <w:rPr>
          <w:rFonts w:hint="eastAsia"/>
          <w:sz w:val="15"/>
          <w:szCs w:val="15"/>
          <w:highlight w:val="none"/>
        </w:rPr>
        <w:t>，</w:t>
      </w:r>
      <w:r>
        <w:rPr>
          <w:rFonts w:hint="eastAsia"/>
          <w:sz w:val="15"/>
          <w:szCs w:val="15"/>
          <w:highlight w:val="none"/>
          <w:lang w:val="en-US" w:eastAsia="zh-CN"/>
        </w:rPr>
        <w:t>130131199210101214</w:t>
      </w:r>
      <w:r>
        <w:rPr>
          <w:rFonts w:hint="eastAsia"/>
          <w:sz w:val="15"/>
          <w:szCs w:val="15"/>
        </w:rPr>
        <w:t xml:space="preserve">  </w:t>
      </w:r>
      <w:r>
        <w:rPr>
          <w:rFonts w:hint="eastAsia"/>
          <w:sz w:val="15"/>
          <w:szCs w:val="15"/>
          <w:lang w:val="en-US" w:eastAsia="zh-CN"/>
        </w:rPr>
        <w:t>沪A79501D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