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朱树明</w:t>
      </w:r>
      <w:r>
        <w:rPr>
          <w:rFonts w:hint="eastAsia"/>
          <w:sz w:val="15"/>
          <w:szCs w:val="15"/>
          <w:highlight w:val="none"/>
        </w:rPr>
        <w:t>，</w:t>
      </w:r>
      <w:r>
        <w:rPr>
          <w:rFonts w:hint="eastAsia"/>
          <w:sz w:val="15"/>
          <w:szCs w:val="15"/>
          <w:highlight w:val="none"/>
          <w:lang w:val="en-US" w:eastAsia="zh-CN"/>
        </w:rPr>
        <w:t>132932197701254816</w:t>
      </w:r>
      <w:r>
        <w:rPr>
          <w:rFonts w:hint="eastAsia"/>
          <w:sz w:val="15"/>
          <w:szCs w:val="15"/>
        </w:rPr>
        <w:t xml:space="preserve">  </w:t>
      </w:r>
      <w:r>
        <w:rPr>
          <w:rFonts w:hint="eastAsia"/>
          <w:sz w:val="15"/>
          <w:szCs w:val="15"/>
          <w:lang w:val="en-US" w:eastAsia="zh-CN"/>
        </w:rPr>
        <w:t>冀RP6756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