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宋佳佳</w:t>
      </w:r>
      <w:r>
        <w:rPr>
          <w:rFonts w:hint="eastAsia"/>
          <w:sz w:val="15"/>
          <w:szCs w:val="15"/>
          <w:highlight w:val="none"/>
        </w:rPr>
        <w:t>，</w:t>
      </w:r>
      <w:r>
        <w:rPr>
          <w:rFonts w:hint="eastAsia"/>
          <w:sz w:val="15"/>
          <w:szCs w:val="15"/>
          <w:highlight w:val="none"/>
          <w:lang w:val="en-US" w:eastAsia="zh-CN"/>
        </w:rPr>
        <w:t>130131198510190074</w:t>
      </w:r>
      <w:r>
        <w:rPr>
          <w:rFonts w:hint="eastAsia"/>
          <w:sz w:val="15"/>
          <w:szCs w:val="15"/>
        </w:rPr>
        <w:t xml:space="preserve">  </w:t>
      </w:r>
      <w:r>
        <w:rPr>
          <w:rFonts w:hint="eastAsia"/>
          <w:sz w:val="15"/>
          <w:szCs w:val="15"/>
          <w:lang w:val="en-US" w:eastAsia="zh-CN"/>
        </w:rPr>
        <w:t>冀A71152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