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郎晓航</w:t>
      </w:r>
      <w:r>
        <w:rPr>
          <w:rFonts w:hint="eastAsia"/>
          <w:sz w:val="15"/>
          <w:szCs w:val="15"/>
          <w:highlight w:val="none"/>
        </w:rPr>
        <w:t>，</w:t>
      </w:r>
      <w:r>
        <w:rPr>
          <w:rFonts w:hint="eastAsia"/>
          <w:sz w:val="15"/>
          <w:szCs w:val="15"/>
          <w:highlight w:val="none"/>
          <w:lang w:val="en-US" w:eastAsia="zh-CN"/>
        </w:rPr>
        <w:t>130182199009270518</w:t>
      </w:r>
      <w:r>
        <w:rPr>
          <w:rFonts w:hint="eastAsia"/>
          <w:sz w:val="15"/>
          <w:szCs w:val="15"/>
        </w:rPr>
        <w:t xml:space="preserve">  </w:t>
      </w:r>
      <w:r>
        <w:rPr>
          <w:rFonts w:hint="eastAsia"/>
          <w:sz w:val="15"/>
          <w:szCs w:val="15"/>
          <w:lang w:val="en-US" w:eastAsia="zh-CN"/>
        </w:rPr>
        <w:t>冀A274BV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