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罗彦龙</w:t>
      </w:r>
      <w:r>
        <w:rPr>
          <w:rFonts w:hint="eastAsia"/>
          <w:sz w:val="15"/>
          <w:szCs w:val="15"/>
          <w:highlight w:val="none"/>
        </w:rPr>
        <w:t>，</w:t>
      </w:r>
      <w:r>
        <w:rPr>
          <w:rFonts w:hint="eastAsia"/>
          <w:sz w:val="15"/>
          <w:szCs w:val="15"/>
          <w:highlight w:val="none"/>
          <w:lang w:val="en-US" w:eastAsia="zh-CN"/>
        </w:rPr>
        <w:t>130131198408155416</w:t>
      </w:r>
      <w:r>
        <w:rPr>
          <w:rFonts w:hint="eastAsia"/>
          <w:sz w:val="15"/>
          <w:szCs w:val="15"/>
        </w:rPr>
        <w:t xml:space="preserve">  </w:t>
      </w:r>
      <w:r>
        <w:rPr>
          <w:rFonts w:hint="eastAsia"/>
          <w:sz w:val="15"/>
          <w:szCs w:val="15"/>
          <w:lang w:val="en-US" w:eastAsia="zh-CN"/>
        </w:rPr>
        <w:t>冀A35917D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