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聂永亮</w:t>
      </w:r>
      <w:r>
        <w:rPr>
          <w:rFonts w:hint="eastAsia"/>
          <w:sz w:val="15"/>
          <w:szCs w:val="15"/>
          <w:highlight w:val="none"/>
        </w:rPr>
        <w:t>，</w:t>
      </w:r>
      <w:r>
        <w:rPr>
          <w:rFonts w:hint="eastAsia"/>
          <w:sz w:val="15"/>
          <w:szCs w:val="15"/>
          <w:highlight w:val="none"/>
          <w:lang w:val="en-US" w:eastAsia="zh-CN"/>
        </w:rPr>
        <w:t>142201197102107434</w:t>
      </w:r>
      <w:r>
        <w:rPr>
          <w:rFonts w:hint="eastAsia"/>
          <w:sz w:val="15"/>
          <w:szCs w:val="15"/>
        </w:rPr>
        <w:t xml:space="preserve">  </w:t>
      </w:r>
      <w:r>
        <w:rPr>
          <w:rFonts w:hint="eastAsia"/>
          <w:sz w:val="15"/>
          <w:szCs w:val="15"/>
          <w:lang w:val="en-US" w:eastAsia="zh-CN"/>
        </w:rPr>
        <w:t>冀T08893D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