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崔志杰</w:t>
      </w:r>
      <w:r>
        <w:rPr>
          <w:rFonts w:hint="eastAsia"/>
          <w:sz w:val="15"/>
          <w:szCs w:val="15"/>
          <w:highlight w:val="none"/>
        </w:rPr>
        <w:t>，</w:t>
      </w:r>
      <w:r>
        <w:rPr>
          <w:rFonts w:hint="eastAsia"/>
          <w:sz w:val="15"/>
          <w:szCs w:val="15"/>
          <w:highlight w:val="none"/>
          <w:lang w:val="en-US" w:eastAsia="zh-CN"/>
        </w:rPr>
        <w:t>130122197901126212</w:t>
      </w:r>
      <w:r>
        <w:rPr>
          <w:rFonts w:hint="eastAsia"/>
          <w:sz w:val="15"/>
          <w:szCs w:val="15"/>
        </w:rPr>
        <w:t xml:space="preserve">  </w:t>
      </w:r>
      <w:r>
        <w:rPr>
          <w:rFonts w:hint="eastAsia"/>
          <w:sz w:val="15"/>
          <w:szCs w:val="15"/>
          <w:lang w:val="en-US" w:eastAsia="zh-CN"/>
        </w:rPr>
        <w:t>冀AF4886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