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刘丕</w:t>
      </w:r>
      <w:r>
        <w:rPr>
          <w:rFonts w:hint="eastAsia"/>
          <w:sz w:val="15"/>
          <w:szCs w:val="15"/>
          <w:highlight w:val="none"/>
        </w:rPr>
        <w:t>，</w:t>
      </w:r>
      <w:r>
        <w:rPr>
          <w:rFonts w:hint="eastAsia"/>
          <w:sz w:val="15"/>
          <w:szCs w:val="15"/>
          <w:highlight w:val="none"/>
          <w:lang w:val="en-US" w:eastAsia="zh-CN"/>
        </w:rPr>
        <w:t>130130198404020913</w:t>
      </w:r>
      <w:r>
        <w:rPr>
          <w:rFonts w:hint="eastAsia"/>
          <w:sz w:val="15"/>
          <w:szCs w:val="15"/>
        </w:rPr>
        <w:t xml:space="preserve">  </w:t>
      </w:r>
      <w:r>
        <w:rPr>
          <w:rFonts w:hint="eastAsia"/>
          <w:sz w:val="15"/>
          <w:szCs w:val="15"/>
          <w:lang w:val="en-US" w:eastAsia="zh-CN"/>
        </w:rPr>
        <w:t>冀A785FL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