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刘承亮</w:t>
      </w:r>
      <w:r>
        <w:rPr>
          <w:rFonts w:hint="eastAsia"/>
          <w:sz w:val="15"/>
          <w:szCs w:val="15"/>
          <w:highlight w:val="none"/>
        </w:rPr>
        <w:t>，</w:t>
      </w:r>
      <w:r>
        <w:rPr>
          <w:rFonts w:hint="eastAsia"/>
          <w:sz w:val="15"/>
          <w:szCs w:val="15"/>
          <w:highlight w:val="none"/>
          <w:lang w:val="en-US" w:eastAsia="zh-CN"/>
        </w:rPr>
        <w:t>130121198004051079</w:t>
      </w:r>
      <w:r>
        <w:rPr>
          <w:rFonts w:hint="eastAsia"/>
          <w:sz w:val="15"/>
          <w:szCs w:val="15"/>
        </w:rPr>
        <w:t xml:space="preserve">  </w:t>
      </w:r>
      <w:r>
        <w:rPr>
          <w:rFonts w:hint="eastAsia"/>
          <w:sz w:val="15"/>
          <w:szCs w:val="15"/>
          <w:lang w:val="en-US" w:eastAsia="zh-CN"/>
        </w:rPr>
        <w:t>冀A3126C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