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杨烁</w:t>
      </w:r>
      <w:r>
        <w:rPr>
          <w:rFonts w:hint="eastAsia"/>
          <w:sz w:val="15"/>
          <w:szCs w:val="15"/>
          <w:highlight w:val="none"/>
        </w:rPr>
        <w:t>，</w:t>
      </w:r>
      <w:r>
        <w:rPr>
          <w:rFonts w:hint="eastAsia"/>
          <w:sz w:val="15"/>
          <w:szCs w:val="15"/>
          <w:highlight w:val="none"/>
          <w:lang w:val="en-US" w:eastAsia="zh-CN"/>
        </w:rPr>
        <w:t>130131199210241233</w:t>
      </w:r>
      <w:r>
        <w:rPr>
          <w:rFonts w:hint="eastAsia"/>
          <w:sz w:val="15"/>
          <w:szCs w:val="15"/>
        </w:rPr>
        <w:t xml:space="preserve">  </w:t>
      </w:r>
      <w:r>
        <w:rPr>
          <w:rFonts w:hint="eastAsia"/>
          <w:sz w:val="15"/>
          <w:szCs w:val="15"/>
          <w:lang w:val="en-US" w:eastAsia="zh-CN"/>
        </w:rPr>
        <w:t>冀A44255D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