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许超峰</w:t>
      </w:r>
      <w:r>
        <w:rPr>
          <w:rFonts w:hint="eastAsia"/>
          <w:sz w:val="15"/>
          <w:szCs w:val="15"/>
          <w:highlight w:val="none"/>
        </w:rPr>
        <w:t>，</w:t>
      </w:r>
      <w:r>
        <w:rPr>
          <w:rFonts w:hint="eastAsia"/>
          <w:sz w:val="15"/>
          <w:szCs w:val="15"/>
          <w:highlight w:val="none"/>
          <w:lang w:val="en-US" w:eastAsia="zh-CN"/>
        </w:rPr>
        <w:t>130182197806182917</w:t>
      </w:r>
      <w:r>
        <w:rPr>
          <w:rFonts w:hint="eastAsia"/>
          <w:sz w:val="15"/>
          <w:szCs w:val="15"/>
        </w:rPr>
        <w:t xml:space="preserve">  </w:t>
      </w:r>
      <w:r>
        <w:rPr>
          <w:rFonts w:hint="eastAsia"/>
          <w:sz w:val="15"/>
          <w:szCs w:val="15"/>
          <w:lang w:val="en-US" w:eastAsia="zh-CN"/>
        </w:rPr>
        <w:t>冀A046AV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