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马进涛</w:t>
      </w:r>
      <w:r>
        <w:rPr>
          <w:rFonts w:hint="eastAsia"/>
          <w:sz w:val="15"/>
          <w:szCs w:val="15"/>
          <w:highlight w:val="none"/>
        </w:rPr>
        <w:t>，</w:t>
      </w:r>
      <w:r>
        <w:rPr>
          <w:rFonts w:hint="eastAsia"/>
          <w:sz w:val="15"/>
          <w:szCs w:val="15"/>
          <w:highlight w:val="none"/>
          <w:lang w:val="en-US" w:eastAsia="zh-CN"/>
        </w:rPr>
        <w:t>130182198809011915</w:t>
      </w:r>
      <w:r>
        <w:rPr>
          <w:rFonts w:hint="eastAsia"/>
          <w:sz w:val="15"/>
          <w:szCs w:val="15"/>
        </w:rPr>
        <w:t xml:space="preserve">  </w:t>
      </w:r>
      <w:r>
        <w:rPr>
          <w:rFonts w:hint="eastAsia"/>
          <w:sz w:val="15"/>
          <w:szCs w:val="15"/>
          <w:lang w:val="en-US" w:eastAsia="zh-CN"/>
        </w:rPr>
        <w:t>冀AR4506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