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王文娟</w:t>
      </w:r>
      <w:r>
        <w:rPr>
          <w:rFonts w:hint="eastAsia"/>
          <w:sz w:val="15"/>
          <w:szCs w:val="15"/>
          <w:highlight w:val="none"/>
        </w:rPr>
        <w:t>，</w:t>
      </w:r>
      <w:r>
        <w:rPr>
          <w:rFonts w:hint="eastAsia"/>
          <w:sz w:val="15"/>
          <w:szCs w:val="15"/>
          <w:highlight w:val="none"/>
          <w:lang w:val="en-US" w:eastAsia="zh-CN"/>
        </w:rPr>
        <w:t>130131199312103640</w:t>
      </w:r>
      <w:r>
        <w:rPr>
          <w:rFonts w:hint="eastAsia"/>
          <w:sz w:val="15"/>
          <w:szCs w:val="15"/>
        </w:rPr>
        <w:t xml:space="preserve">  </w:t>
      </w:r>
      <w:r>
        <w:rPr>
          <w:rFonts w:hint="eastAsia"/>
          <w:sz w:val="15"/>
          <w:szCs w:val="15"/>
          <w:lang w:val="en-US" w:eastAsia="zh-CN"/>
        </w:rPr>
        <w:t>冀A38777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