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蔡保贵</w:t>
      </w:r>
      <w:r>
        <w:rPr>
          <w:rFonts w:hint="eastAsia"/>
          <w:sz w:val="15"/>
          <w:szCs w:val="15"/>
          <w:highlight w:val="none"/>
        </w:rPr>
        <w:t>，</w:t>
      </w:r>
      <w:r>
        <w:rPr>
          <w:rFonts w:hint="eastAsia"/>
          <w:sz w:val="15"/>
          <w:szCs w:val="15"/>
          <w:highlight w:val="none"/>
          <w:lang w:val="en-US" w:eastAsia="zh-CN"/>
        </w:rPr>
        <w:t>130123197305035716</w:t>
      </w:r>
      <w:r>
        <w:rPr>
          <w:rFonts w:hint="eastAsia"/>
          <w:sz w:val="15"/>
          <w:szCs w:val="15"/>
        </w:rPr>
        <w:t xml:space="preserve">  </w:t>
      </w:r>
      <w:r>
        <w:rPr>
          <w:rFonts w:hint="eastAsia"/>
          <w:sz w:val="15"/>
          <w:szCs w:val="15"/>
          <w:lang w:val="en-US" w:eastAsia="zh-CN"/>
        </w:rPr>
        <w:t>冀A194AP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