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于靖</w:t>
      </w:r>
      <w:r>
        <w:rPr>
          <w:rFonts w:hint="eastAsia"/>
          <w:sz w:val="15"/>
          <w:szCs w:val="15"/>
          <w:highlight w:val="none"/>
        </w:rPr>
        <w:t>，</w:t>
      </w:r>
      <w:r>
        <w:rPr>
          <w:rFonts w:hint="eastAsia"/>
          <w:sz w:val="15"/>
          <w:szCs w:val="15"/>
          <w:highlight w:val="none"/>
          <w:lang w:val="en-US" w:eastAsia="zh-CN"/>
        </w:rPr>
        <w:t>130182198105102018</w:t>
      </w:r>
      <w:r>
        <w:rPr>
          <w:rFonts w:hint="eastAsia"/>
          <w:sz w:val="15"/>
          <w:szCs w:val="15"/>
        </w:rPr>
        <w:t xml:space="preserve">  </w:t>
      </w:r>
      <w:r>
        <w:rPr>
          <w:rFonts w:hint="eastAsia"/>
          <w:sz w:val="15"/>
          <w:szCs w:val="15"/>
          <w:lang w:val="en-US" w:eastAsia="zh-CN"/>
        </w:rPr>
        <w:t>冀A27R91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