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王学兵</w:t>
      </w:r>
      <w:r>
        <w:rPr>
          <w:rFonts w:hint="eastAsia"/>
          <w:sz w:val="15"/>
          <w:szCs w:val="15"/>
          <w:highlight w:val="none"/>
        </w:rPr>
        <w:t>，</w:t>
      </w:r>
      <w:r>
        <w:rPr>
          <w:rFonts w:hint="eastAsia"/>
          <w:sz w:val="15"/>
          <w:szCs w:val="15"/>
          <w:highlight w:val="none"/>
          <w:lang w:val="en-US" w:eastAsia="zh-CN"/>
        </w:rPr>
        <w:t>14242719720617541X</w:t>
      </w:r>
      <w:r>
        <w:rPr>
          <w:rFonts w:hint="eastAsia"/>
          <w:sz w:val="15"/>
          <w:szCs w:val="15"/>
        </w:rPr>
        <w:t xml:space="preserve">  </w:t>
      </w:r>
      <w:r>
        <w:rPr>
          <w:rFonts w:hint="eastAsia"/>
          <w:sz w:val="15"/>
          <w:szCs w:val="15"/>
          <w:lang w:val="en-US" w:eastAsia="zh-CN"/>
        </w:rPr>
        <w:t>晋C02639D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