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郝志毅</w:t>
      </w:r>
      <w:r>
        <w:rPr>
          <w:rFonts w:hint="eastAsia"/>
          <w:sz w:val="15"/>
          <w:szCs w:val="15"/>
          <w:highlight w:val="none"/>
        </w:rPr>
        <w:t>，</w:t>
      </w:r>
      <w:r>
        <w:rPr>
          <w:rFonts w:hint="eastAsia"/>
          <w:sz w:val="15"/>
          <w:szCs w:val="15"/>
          <w:highlight w:val="none"/>
          <w:lang w:val="en-US" w:eastAsia="zh-CN"/>
        </w:rPr>
        <w:t>130123198303303339</w:t>
      </w:r>
      <w:r>
        <w:rPr>
          <w:rFonts w:hint="eastAsia"/>
          <w:sz w:val="15"/>
          <w:szCs w:val="15"/>
        </w:rPr>
        <w:t xml:space="preserve">  </w:t>
      </w:r>
      <w:r>
        <w:rPr>
          <w:rFonts w:hint="eastAsia"/>
          <w:sz w:val="15"/>
          <w:szCs w:val="15"/>
          <w:lang w:val="en-US" w:eastAsia="zh-CN"/>
        </w:rPr>
        <w:t>冀A59183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