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梁伊凡</w:t>
      </w:r>
      <w:r>
        <w:rPr>
          <w:rFonts w:hint="eastAsia"/>
          <w:sz w:val="15"/>
          <w:szCs w:val="15"/>
          <w:highlight w:val="none"/>
        </w:rPr>
        <w:t>，</w:t>
      </w:r>
      <w:r>
        <w:rPr>
          <w:rFonts w:hint="eastAsia"/>
          <w:sz w:val="15"/>
          <w:szCs w:val="15"/>
          <w:highlight w:val="none"/>
          <w:lang w:val="en-US" w:eastAsia="zh-CN"/>
        </w:rPr>
        <w:t>13010420020112332X</w:t>
      </w:r>
      <w:r>
        <w:rPr>
          <w:rFonts w:hint="eastAsia"/>
          <w:sz w:val="15"/>
          <w:szCs w:val="15"/>
        </w:rPr>
        <w:t xml:space="preserve">  </w:t>
      </w:r>
      <w:r>
        <w:rPr>
          <w:rFonts w:hint="eastAsia"/>
          <w:sz w:val="15"/>
          <w:szCs w:val="15"/>
          <w:lang w:val="en-US" w:eastAsia="zh-CN"/>
        </w:rPr>
        <w:t>冀ARG989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