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吕亮</w:t>
      </w:r>
      <w:r>
        <w:rPr>
          <w:rFonts w:hint="eastAsia"/>
          <w:sz w:val="15"/>
          <w:szCs w:val="15"/>
          <w:highlight w:val="none"/>
        </w:rPr>
        <w:t>，</w:t>
      </w:r>
      <w:r>
        <w:rPr>
          <w:rFonts w:hint="eastAsia"/>
          <w:sz w:val="15"/>
          <w:szCs w:val="15"/>
          <w:highlight w:val="none"/>
          <w:lang w:val="en-US" w:eastAsia="zh-CN"/>
        </w:rPr>
        <w:t>142427198703290018</w:t>
      </w:r>
      <w:r>
        <w:rPr>
          <w:rFonts w:hint="eastAsia"/>
          <w:sz w:val="15"/>
          <w:szCs w:val="15"/>
        </w:rPr>
        <w:t xml:space="preserve">  </w:t>
      </w:r>
      <w:r>
        <w:rPr>
          <w:rFonts w:hint="eastAsia"/>
          <w:sz w:val="15"/>
          <w:szCs w:val="15"/>
          <w:lang w:val="en-US" w:eastAsia="zh-CN"/>
        </w:rPr>
        <w:t>晋K00286D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