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1451</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胡志鑫</w:t>
      </w:r>
      <w:r>
        <w:rPr>
          <w:rFonts w:hint="eastAsia"/>
          <w:sz w:val="15"/>
          <w:szCs w:val="15"/>
          <w:highlight w:val="none"/>
        </w:rPr>
        <w:t>，</w:t>
      </w:r>
      <w:r>
        <w:rPr>
          <w:rFonts w:hint="eastAsia"/>
          <w:sz w:val="15"/>
          <w:szCs w:val="15"/>
          <w:highlight w:val="none"/>
          <w:lang w:val="en-US" w:eastAsia="zh-CN"/>
        </w:rPr>
        <w:t>14032219891009271X</w:t>
      </w:r>
      <w:r>
        <w:rPr>
          <w:rFonts w:hint="eastAsia"/>
          <w:sz w:val="15"/>
          <w:szCs w:val="15"/>
        </w:rPr>
        <w:t xml:space="preserve">  </w:t>
      </w:r>
      <w:r>
        <w:rPr>
          <w:rFonts w:hint="eastAsia"/>
          <w:sz w:val="15"/>
          <w:szCs w:val="15"/>
          <w:lang w:val="en-US" w:eastAsia="zh-CN"/>
        </w:rPr>
        <w:t>冀AV2501</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