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李进晓</w:t>
      </w:r>
      <w:r>
        <w:rPr>
          <w:rFonts w:hint="eastAsia"/>
          <w:sz w:val="15"/>
          <w:szCs w:val="15"/>
          <w:highlight w:val="none"/>
        </w:rPr>
        <w:t>，</w:t>
      </w:r>
      <w:r>
        <w:rPr>
          <w:rFonts w:hint="eastAsia"/>
          <w:sz w:val="15"/>
          <w:szCs w:val="15"/>
          <w:highlight w:val="none"/>
          <w:lang w:val="en-US" w:eastAsia="zh-CN"/>
        </w:rPr>
        <w:t>132335197810271611</w:t>
      </w:r>
      <w:r>
        <w:rPr>
          <w:rFonts w:hint="eastAsia"/>
          <w:sz w:val="15"/>
          <w:szCs w:val="15"/>
        </w:rPr>
        <w:t xml:space="preserve">  </w:t>
      </w:r>
      <w:r>
        <w:rPr>
          <w:rFonts w:hint="eastAsia"/>
          <w:sz w:val="15"/>
          <w:szCs w:val="15"/>
          <w:lang w:val="en-US" w:eastAsia="zh-CN"/>
        </w:rPr>
        <w:t>冀A86942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