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王宁</w:t>
      </w:r>
      <w:r>
        <w:rPr>
          <w:rFonts w:hint="eastAsia"/>
          <w:sz w:val="15"/>
          <w:szCs w:val="15"/>
          <w:highlight w:val="none"/>
        </w:rPr>
        <w:t>，</w:t>
      </w:r>
      <w:r>
        <w:rPr>
          <w:rFonts w:hint="eastAsia"/>
          <w:sz w:val="15"/>
          <w:szCs w:val="15"/>
          <w:highlight w:val="none"/>
          <w:lang w:val="en-US" w:eastAsia="zh-CN"/>
        </w:rPr>
        <w:t>13013119850516455X</w:t>
      </w:r>
      <w:r>
        <w:rPr>
          <w:rFonts w:hint="eastAsia"/>
          <w:sz w:val="15"/>
          <w:szCs w:val="15"/>
        </w:rPr>
        <w:t xml:space="preserve">  </w:t>
      </w:r>
      <w:r>
        <w:rPr>
          <w:rFonts w:hint="eastAsia"/>
          <w:sz w:val="15"/>
          <w:szCs w:val="15"/>
          <w:lang w:val="en-US" w:eastAsia="zh-CN"/>
        </w:rPr>
        <w:t>冀A32838D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