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茹金英</w:t>
      </w:r>
      <w:r>
        <w:rPr>
          <w:rFonts w:hint="eastAsia"/>
          <w:sz w:val="15"/>
          <w:szCs w:val="15"/>
          <w:highlight w:val="none"/>
        </w:rPr>
        <w:t>，</w:t>
      </w:r>
      <w:r>
        <w:rPr>
          <w:rFonts w:hint="eastAsia"/>
          <w:sz w:val="15"/>
          <w:szCs w:val="15"/>
          <w:highlight w:val="none"/>
          <w:lang w:val="en-US" w:eastAsia="zh-CN"/>
        </w:rPr>
        <w:t>132335197004121029</w:t>
      </w:r>
      <w:r>
        <w:rPr>
          <w:rFonts w:hint="eastAsia"/>
          <w:sz w:val="15"/>
          <w:szCs w:val="15"/>
        </w:rPr>
        <w:t xml:space="preserve">  </w:t>
      </w:r>
      <w:r>
        <w:rPr>
          <w:rFonts w:hint="eastAsia"/>
          <w:sz w:val="15"/>
          <w:szCs w:val="15"/>
          <w:lang w:val="en-US" w:eastAsia="zh-CN"/>
        </w:rPr>
        <w:t>冀A9839H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