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康二伟</w:t>
      </w:r>
      <w:r>
        <w:rPr>
          <w:rFonts w:hint="eastAsia"/>
          <w:sz w:val="15"/>
          <w:szCs w:val="15"/>
          <w:highlight w:val="none"/>
        </w:rPr>
        <w:t>，</w:t>
      </w:r>
      <w:r>
        <w:rPr>
          <w:rFonts w:hint="eastAsia"/>
          <w:sz w:val="15"/>
          <w:szCs w:val="15"/>
          <w:highlight w:val="none"/>
          <w:lang w:val="en-US" w:eastAsia="zh-CN"/>
        </w:rPr>
        <w:t>130131198707252718</w:t>
      </w:r>
      <w:r>
        <w:rPr>
          <w:rFonts w:hint="eastAsia"/>
          <w:sz w:val="15"/>
          <w:szCs w:val="15"/>
        </w:rPr>
        <w:t xml:space="preserve">  </w:t>
      </w:r>
      <w:r>
        <w:rPr>
          <w:rFonts w:hint="eastAsia"/>
          <w:sz w:val="15"/>
          <w:szCs w:val="15"/>
          <w:lang w:val="en-US" w:eastAsia="zh-CN"/>
        </w:rPr>
        <w:t>冀A34676D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