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1427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武冬格</w:t>
      </w:r>
      <w:r>
        <w:rPr>
          <w:rFonts w:hint="eastAsia"/>
          <w:sz w:val="15"/>
          <w:szCs w:val="15"/>
          <w:highlight w:val="none"/>
        </w:rPr>
        <w:t>，</w:t>
      </w:r>
      <w:r>
        <w:rPr>
          <w:rFonts w:hint="eastAsia"/>
          <w:sz w:val="15"/>
          <w:szCs w:val="15"/>
          <w:highlight w:val="none"/>
          <w:lang w:val="en-US" w:eastAsia="zh-CN"/>
        </w:rPr>
        <w:t>130131198812120012</w:t>
      </w:r>
      <w:r>
        <w:rPr>
          <w:rFonts w:hint="eastAsia"/>
          <w:sz w:val="15"/>
          <w:szCs w:val="15"/>
        </w:rPr>
        <w:t xml:space="preserve">  </w:t>
      </w:r>
      <w:r>
        <w:rPr>
          <w:rFonts w:hint="eastAsia"/>
          <w:sz w:val="15"/>
          <w:szCs w:val="15"/>
          <w:lang w:val="en-US" w:eastAsia="zh-CN"/>
        </w:rPr>
        <w:t>冀F08964D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