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单正军</w:t>
      </w:r>
      <w:r>
        <w:rPr>
          <w:rFonts w:hint="eastAsia"/>
          <w:sz w:val="15"/>
          <w:szCs w:val="15"/>
          <w:highlight w:val="none"/>
        </w:rPr>
        <w:t>，</w:t>
      </w:r>
      <w:r>
        <w:rPr>
          <w:rFonts w:hint="eastAsia"/>
          <w:sz w:val="15"/>
          <w:szCs w:val="15"/>
          <w:highlight w:val="none"/>
          <w:lang w:val="en-US" w:eastAsia="zh-CN"/>
        </w:rPr>
        <w:t>132335197110241016</w:t>
      </w:r>
      <w:r>
        <w:rPr>
          <w:rFonts w:hint="eastAsia"/>
          <w:sz w:val="15"/>
          <w:szCs w:val="15"/>
        </w:rPr>
        <w:t xml:space="preserve">  </w:t>
      </w:r>
      <w:r>
        <w:rPr>
          <w:rFonts w:hint="eastAsia"/>
          <w:sz w:val="15"/>
          <w:szCs w:val="15"/>
          <w:lang w:val="en-US" w:eastAsia="zh-CN"/>
        </w:rPr>
        <w:t>冀A31205D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